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4F6" w:rsidRDefault="00F6113E">
      <w:r w:rsidRPr="00F6113E">
        <w:t>BARC is an equal opportunity employer and makes employment decisions on the basis of merit. We want to have the best available persons in every job. BARC policy prohibits unlawful discrimination based on race, color, sex (includes pregnancy, childbirth, breastfeeding and medical conditions related to pregnancy, childbirth and breastfeeding) gender identity and expression, sexual orientation, marital status, registered domestic partner status, religion, religious dress practice and religious grooming practice, national origin, ancestry, age, physical disability, mental disability, medical condition, genetic information, military and veteran status or any other consideration made unlawful by federal, state, or local laws. It also prohibits unlawful discrimination based on the perception that anyone has any of those characteristics, or is associated with a person who has or is perceived as having any of those characteristics. All such discrimination is unlawful.</w:t>
      </w:r>
      <w:bookmarkStart w:id="0" w:name="_GoBack"/>
      <w:bookmarkEnd w:id="0"/>
    </w:p>
    <w:sectPr w:rsidR="0080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3E"/>
    <w:rsid w:val="008054F6"/>
    <w:rsid w:val="00F6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Myers</dc:creator>
  <cp:lastModifiedBy>Joyce Myers</cp:lastModifiedBy>
  <cp:revision>1</cp:revision>
  <dcterms:created xsi:type="dcterms:W3CDTF">2014-03-06T20:10:00Z</dcterms:created>
  <dcterms:modified xsi:type="dcterms:W3CDTF">2014-03-06T20:10:00Z</dcterms:modified>
</cp:coreProperties>
</file>