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8D" w:rsidRPr="00460C8A" w:rsidRDefault="00590A8D" w:rsidP="003C70A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460C8A">
        <w:rPr>
          <w:lang w:val="es-MX"/>
        </w:rPr>
        <w:t xml:space="preserve">                    </w:t>
      </w:r>
      <w:r w:rsidRPr="00460C8A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SECCIÓN 1:</w:t>
      </w:r>
      <w:r w:rsidR="005A162F" w:rsidRPr="00460C8A">
        <w:rPr>
          <w:rFonts w:ascii="Times New Roman" w:hAnsi="Times New Roman" w:cs="Times New Roman"/>
          <w:b/>
          <w:lang w:val="es-MX"/>
        </w:rPr>
        <w:t xml:space="preserve"> Bakersfield Arc, Inc.</w:t>
      </w:r>
    </w:p>
    <w:p w:rsidR="00590A8D" w:rsidRPr="00460C8A" w:rsidRDefault="00590A8D" w:rsidP="00460C8A">
      <w:pPr>
        <w:spacing w:line="240" w:lineRule="auto"/>
        <w:ind w:left="975"/>
        <w:rPr>
          <w:rFonts w:ascii="Times New Roman" w:eastAsia="Times New Roman" w:hAnsi="Times New Roman" w:cs="Times New Roman"/>
          <w:b/>
          <w:szCs w:val="24"/>
          <w:lang w:val="es-MX"/>
        </w:rPr>
      </w:pPr>
      <w:r w:rsidRPr="00460C8A">
        <w:rPr>
          <w:rFonts w:ascii="Times New Roman" w:eastAsia="Times New Roman" w:hAnsi="Times New Roman" w:cs="Times New Roman"/>
          <w:b/>
          <w:szCs w:val="24"/>
          <w:lang w:val="es-MX"/>
        </w:rPr>
        <w:t>FTA TÍTULO VI PROGRAMA Y CUMPLIMIENTO DE LOS PROCEDIMIENTOS</w:t>
      </w:r>
    </w:p>
    <w:p w:rsidR="003C70A0" w:rsidRPr="00460C8A" w:rsidRDefault="003C70A0" w:rsidP="00460C8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</w:p>
    <w:p w:rsidR="005A162F" w:rsidRDefault="005A162F" w:rsidP="00460C8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62F">
        <w:rPr>
          <w:rFonts w:ascii="Times New Roman" w:eastAsia="Times New Roman" w:hAnsi="Times New Roman" w:cs="Times New Roman"/>
          <w:b/>
          <w:sz w:val="24"/>
          <w:szCs w:val="24"/>
        </w:rPr>
        <w:t>POLITICA</w:t>
      </w:r>
    </w:p>
    <w:p w:rsidR="003C70A0" w:rsidRPr="00460C8A" w:rsidRDefault="003C70A0" w:rsidP="0046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Bakersfield</w:t>
      </w:r>
      <w:r w:rsidR="007D58A4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Arc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Inc. (BARC) se compromete a garantizar que ninguna persona </w:t>
      </w:r>
      <w:r w:rsidR="007D58A4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sea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excluida de </w:t>
      </w:r>
      <w:r w:rsidR="00460C8A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participación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</w:t>
      </w:r>
      <w:r w:rsidR="007D58A4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sea negada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beneficios o esté sometida a discriminación bajo cualquiera de sus programas, actividades o servicios bas</w:t>
      </w:r>
      <w:r w:rsidR="007D58A4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ado en su 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raza, color u origen nacional. Además, BARC prohíbe la discriminación por raza, color u origen nacional en su</w:t>
      </w:r>
      <w:r w:rsidR="007B0E3A">
        <w:rPr>
          <w:rFonts w:ascii="Times New Roman" w:eastAsia="Times New Roman" w:hAnsi="Times New Roman" w:cs="Times New Roman"/>
          <w:sz w:val="24"/>
          <w:szCs w:val="24"/>
          <w:lang w:val="es-MX"/>
        </w:rPr>
        <w:t>s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7B0E3A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oportunidades</w:t>
      </w:r>
      <w:r w:rsidR="007B0E3A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7B0E3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de 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empleo y de negocio.</w:t>
      </w:r>
      <w:r w:rsidR="007B0E3A" w:rsidRPr="007B0E3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</w:p>
    <w:p w:rsidR="003C70A0" w:rsidRPr="00460C8A" w:rsidRDefault="003C70A0" w:rsidP="0046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 </w:t>
      </w:r>
    </w:p>
    <w:p w:rsidR="00BA5DE7" w:rsidRPr="00460C8A" w:rsidRDefault="00BA5DE7" w:rsidP="00F44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BARC no </w:t>
      </w:r>
      <w:r w:rsidR="003C2F6A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tolera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represalias contra un individuo por su participación en hacer va</w:t>
      </w:r>
      <w:r w:rsidR="003C2F6A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ler sus derechos en virtud del T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ítulo VI o porque presentó una </w:t>
      </w:r>
      <w:r w:rsidR="00F44255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queja 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o </w:t>
      </w:r>
      <w:r w:rsidR="003C2F6A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participó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en una investigación bajo el </w:t>
      </w:r>
      <w:r w:rsidR="003C2F6A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T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ítulo VI </w:t>
      </w:r>
      <w:r w:rsidR="003C2F6A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y/o esta regulación.</w:t>
      </w:r>
    </w:p>
    <w:p w:rsidR="00F44255" w:rsidRDefault="00F44255" w:rsidP="00F44255">
      <w:pPr>
        <w:spacing w:line="240" w:lineRule="auto"/>
        <w:jc w:val="both"/>
        <w:rPr>
          <w:rFonts w:ascii="Times New Roman" w:hAnsi="Times New Roman" w:cs="Times New Roman"/>
          <w:lang w:val="es-MX"/>
        </w:rPr>
      </w:pPr>
    </w:p>
    <w:p w:rsidR="005A52C0" w:rsidRPr="00460C8A" w:rsidRDefault="005A52C0" w:rsidP="00F44255">
      <w:pPr>
        <w:spacing w:line="240" w:lineRule="auto"/>
        <w:jc w:val="both"/>
        <w:rPr>
          <w:rFonts w:ascii="Times New Roman" w:hAnsi="Times New Roman" w:cs="Times New Roman"/>
          <w:lang w:val="es-MX"/>
        </w:rPr>
      </w:pPr>
      <w:r w:rsidRPr="00460C8A">
        <w:rPr>
          <w:rFonts w:ascii="Times New Roman" w:hAnsi="Times New Roman" w:cs="Times New Roman"/>
          <w:lang w:val="es-MX"/>
        </w:rPr>
        <w:t xml:space="preserve">Como un recipiente de fondo </w:t>
      </w:r>
      <w:r w:rsidR="0013798B" w:rsidRPr="00460C8A">
        <w:rPr>
          <w:rFonts w:ascii="Times New Roman" w:hAnsi="Times New Roman" w:cs="Times New Roman"/>
          <w:lang w:val="es-MX"/>
        </w:rPr>
        <w:t xml:space="preserve">de la Administración Federal de Tránsito </w:t>
      </w:r>
      <w:r w:rsidRPr="00460C8A">
        <w:rPr>
          <w:rFonts w:ascii="Times New Roman" w:hAnsi="Times New Roman" w:cs="Times New Roman"/>
          <w:lang w:val="es-MX"/>
        </w:rPr>
        <w:t xml:space="preserve">(FTA), BARC se asegurará de que sus programas, las políticas y actividades cumplan con las regulaciones </w:t>
      </w:r>
      <w:r w:rsidR="00460C8A" w:rsidRPr="00460C8A">
        <w:rPr>
          <w:rFonts w:ascii="Times New Roman" w:hAnsi="Times New Roman" w:cs="Times New Roman"/>
          <w:lang w:val="es-MX"/>
        </w:rPr>
        <w:t>del</w:t>
      </w:r>
      <w:r w:rsidR="00811D17" w:rsidRPr="00460C8A">
        <w:rPr>
          <w:rFonts w:ascii="Times New Roman" w:hAnsi="Times New Roman" w:cs="Times New Roman"/>
          <w:lang w:val="es-MX"/>
        </w:rPr>
        <w:t xml:space="preserve"> Departamento de Transporte (DOT) Título VI Reglamento de la Ley de Derechos Civiles de 1964.</w:t>
      </w:r>
    </w:p>
    <w:p w:rsidR="001A6678" w:rsidRPr="00460C8A" w:rsidRDefault="001A6678" w:rsidP="00F44255">
      <w:pPr>
        <w:spacing w:line="240" w:lineRule="auto"/>
        <w:jc w:val="both"/>
        <w:rPr>
          <w:rFonts w:ascii="Times New Roman" w:hAnsi="Times New Roman" w:cs="Times New Roman"/>
          <w:lang w:val="es-MX"/>
        </w:rPr>
      </w:pPr>
      <w:r w:rsidRPr="00460C8A">
        <w:rPr>
          <w:rFonts w:ascii="Times New Roman" w:hAnsi="Times New Roman" w:cs="Times New Roman"/>
          <w:lang w:val="es-MX"/>
        </w:rPr>
        <w:t xml:space="preserve">BARC se asegurará de que el nivel y la calidad de su servicio de transporte </w:t>
      </w:r>
      <w:r w:rsidR="00460C8A" w:rsidRPr="00460C8A">
        <w:rPr>
          <w:rFonts w:ascii="Times New Roman" w:hAnsi="Times New Roman" w:cs="Times New Roman"/>
          <w:lang w:val="es-MX"/>
        </w:rPr>
        <w:t>sean</w:t>
      </w:r>
      <w:r w:rsidRPr="00460C8A">
        <w:rPr>
          <w:rFonts w:ascii="Times New Roman" w:hAnsi="Times New Roman" w:cs="Times New Roman"/>
          <w:lang w:val="es-MX"/>
        </w:rPr>
        <w:t xml:space="preserve"> </w:t>
      </w:r>
      <w:r w:rsidR="00460C8A" w:rsidRPr="00460C8A">
        <w:rPr>
          <w:rFonts w:ascii="Times New Roman" w:hAnsi="Times New Roman" w:cs="Times New Roman"/>
          <w:lang w:val="es-MX"/>
        </w:rPr>
        <w:t>proporcionados</w:t>
      </w:r>
      <w:r w:rsidRPr="00460C8A">
        <w:rPr>
          <w:rFonts w:ascii="Times New Roman" w:hAnsi="Times New Roman" w:cs="Times New Roman"/>
          <w:lang w:val="es-MX"/>
        </w:rPr>
        <w:t xml:space="preserve"> sin distinción de raza, color u origen nacional.</w:t>
      </w:r>
    </w:p>
    <w:p w:rsidR="001A6678" w:rsidRPr="00460C8A" w:rsidRDefault="001A6678" w:rsidP="00F44255">
      <w:pPr>
        <w:spacing w:line="240" w:lineRule="auto"/>
        <w:jc w:val="both"/>
        <w:rPr>
          <w:rFonts w:ascii="Times New Roman" w:hAnsi="Times New Roman" w:cs="Times New Roman"/>
          <w:lang w:val="es-MX"/>
        </w:rPr>
      </w:pPr>
      <w:r w:rsidRPr="00460C8A">
        <w:rPr>
          <w:rFonts w:ascii="Times New Roman" w:hAnsi="Times New Roman" w:cs="Times New Roman"/>
          <w:lang w:val="es-MX"/>
        </w:rPr>
        <w:t>BARC promoverá la participación plena y justa de todas las poblaciones afectadas en el proceso de toma</w:t>
      </w:r>
      <w:r w:rsidR="00330BC8" w:rsidRPr="00460C8A">
        <w:rPr>
          <w:rFonts w:ascii="Times New Roman" w:hAnsi="Times New Roman" w:cs="Times New Roman"/>
          <w:lang w:val="es-MX"/>
        </w:rPr>
        <w:t>r</w:t>
      </w:r>
      <w:r w:rsidRPr="00460C8A">
        <w:rPr>
          <w:rFonts w:ascii="Times New Roman" w:hAnsi="Times New Roman" w:cs="Times New Roman"/>
          <w:lang w:val="es-MX"/>
        </w:rPr>
        <w:t xml:space="preserve"> decisiones de transporte</w:t>
      </w:r>
      <w:r w:rsidR="00330BC8" w:rsidRPr="00460C8A">
        <w:rPr>
          <w:rFonts w:ascii="Times New Roman" w:hAnsi="Times New Roman" w:cs="Times New Roman"/>
          <w:lang w:val="es-MX"/>
        </w:rPr>
        <w:t>.</w:t>
      </w:r>
    </w:p>
    <w:p w:rsidR="00330BC8" w:rsidRPr="00460C8A" w:rsidRDefault="00330BC8" w:rsidP="0046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BARC hará esfuerzos de buena fe para lograr la justicia ambiental como parte de su misión de identificar y dirigir, </w:t>
      </w:r>
      <w:r w:rsidR="00460C8A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según</w:t>
      </w:r>
      <w:r w:rsidR="009C1F63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sea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apropiada, desprop</w:t>
      </w:r>
      <w:r w:rsidR="009C1F63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orcionadamente alta y adversa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la salud humana o los efectos ambientales de sus programas, actividades y servicios en las poblaciones minoritarias y poblaciones de bajos ingresos en las zonas de servicio de BARC previstas en el presente.</w:t>
      </w:r>
    </w:p>
    <w:p w:rsidR="009C1F63" w:rsidRPr="00460C8A" w:rsidRDefault="009C1F63" w:rsidP="0046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3E41B4" w:rsidRPr="00460C8A" w:rsidRDefault="003E41B4" w:rsidP="00460C8A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BARC</w:t>
      </w:r>
      <w:bookmarkStart w:id="0" w:name="_GoBack"/>
      <w:bookmarkEnd w:id="0"/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se asegurará </w:t>
      </w:r>
      <w:r w:rsidRPr="00460C8A">
        <w:rPr>
          <w:rFonts w:ascii="Times New Roman" w:hAnsi="Times New Roman" w:cs="Times New Roman"/>
          <w:lang w:val="es-MX"/>
        </w:rPr>
        <w:t>de que los individuos limitad</w:t>
      </w:r>
      <w:r w:rsidR="00D64245" w:rsidRPr="00460C8A">
        <w:rPr>
          <w:rFonts w:ascii="Times New Roman" w:hAnsi="Times New Roman" w:cs="Times New Roman"/>
          <w:lang w:val="es-MX"/>
        </w:rPr>
        <w:t>os</w:t>
      </w:r>
      <w:r w:rsidRPr="00460C8A">
        <w:rPr>
          <w:rFonts w:ascii="Times New Roman" w:hAnsi="Times New Roman" w:cs="Times New Roman"/>
          <w:lang w:val="es-MX"/>
        </w:rPr>
        <w:t xml:space="preserve"> en el idioma </w:t>
      </w:r>
      <w:r w:rsidR="00D64245" w:rsidRPr="00460C8A">
        <w:rPr>
          <w:rFonts w:ascii="Times New Roman" w:hAnsi="Times New Roman" w:cs="Times New Roman"/>
          <w:lang w:val="es-MX"/>
        </w:rPr>
        <w:t>ingles (LEP) tengan el acceso a programas del BARC, actividades y servicios.</w:t>
      </w:r>
    </w:p>
    <w:p w:rsidR="00DC110A" w:rsidRPr="00460C8A" w:rsidRDefault="00DC110A" w:rsidP="00460C8A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DC110A" w:rsidRPr="00460C8A" w:rsidRDefault="003C293B" w:rsidP="00460C8A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460C8A">
        <w:rPr>
          <w:rFonts w:ascii="Times New Roman" w:hAnsi="Times New Roman" w:cs="Times New Roman"/>
          <w:lang w:val="es-MX"/>
        </w:rPr>
        <w:t>La política Título VI de BARC se publicará en el sitio web de la agencia, dentro de las oficinas administrativas y en todos los vehículos.</w:t>
      </w:r>
    </w:p>
    <w:p w:rsidR="00C66E57" w:rsidRPr="00460C8A" w:rsidRDefault="00C66E57" w:rsidP="00460C8A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C66E57" w:rsidRPr="00460C8A" w:rsidRDefault="00C66E57" w:rsidP="0046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460C8A">
        <w:rPr>
          <w:rFonts w:ascii="Times New Roman" w:hAnsi="Times New Roman" w:cs="Times New Roman"/>
          <w:lang w:val="es-MX"/>
        </w:rPr>
        <w:t xml:space="preserve">Este Reglamento se mantendrá en </w:t>
      </w:r>
      <w:r w:rsidR="00460C8A" w:rsidRPr="00460C8A">
        <w:rPr>
          <w:rFonts w:ascii="Times New Roman" w:hAnsi="Times New Roman" w:cs="Times New Roman"/>
          <w:lang w:val="es-MX"/>
        </w:rPr>
        <w:t>inglés</w:t>
      </w:r>
      <w:r w:rsidRPr="00460C8A">
        <w:rPr>
          <w:rFonts w:ascii="Times New Roman" w:hAnsi="Times New Roman" w:cs="Times New Roman"/>
          <w:lang w:val="es-MX"/>
        </w:rPr>
        <w:t xml:space="preserve"> y </w:t>
      </w:r>
      <w:r w:rsidR="00460C8A" w:rsidRPr="00460C8A">
        <w:rPr>
          <w:rFonts w:ascii="Times New Roman" w:hAnsi="Times New Roman" w:cs="Times New Roman"/>
          <w:lang w:val="es-MX"/>
        </w:rPr>
        <w:t>español</w:t>
      </w:r>
      <w:r w:rsidRPr="00460C8A">
        <w:rPr>
          <w:rFonts w:ascii="Times New Roman" w:hAnsi="Times New Roman" w:cs="Times New Roman"/>
          <w:lang w:val="es-MX"/>
        </w:rPr>
        <w:t>.</w:t>
      </w:r>
    </w:p>
    <w:p w:rsidR="009C1F63" w:rsidRPr="00460C8A" w:rsidRDefault="009C1F63" w:rsidP="0046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330BC8" w:rsidRPr="00460C8A" w:rsidRDefault="00330BC8" w:rsidP="00460C8A">
      <w:pPr>
        <w:spacing w:line="240" w:lineRule="auto"/>
        <w:jc w:val="both"/>
        <w:rPr>
          <w:rFonts w:ascii="Times New Roman" w:hAnsi="Times New Roman" w:cs="Times New Roman"/>
          <w:lang w:val="es-MX"/>
        </w:rPr>
      </w:pPr>
    </w:p>
    <w:p w:rsidR="00330BC8" w:rsidRPr="00460C8A" w:rsidRDefault="00330BC8" w:rsidP="00460C8A">
      <w:pPr>
        <w:spacing w:line="240" w:lineRule="auto"/>
        <w:jc w:val="both"/>
        <w:rPr>
          <w:rFonts w:ascii="Times New Roman" w:hAnsi="Times New Roman" w:cs="Times New Roman"/>
          <w:lang w:val="es-MX"/>
        </w:rPr>
      </w:pPr>
    </w:p>
    <w:p w:rsidR="00590A8D" w:rsidRPr="00460C8A" w:rsidRDefault="00590A8D" w:rsidP="00460C8A">
      <w:pPr>
        <w:spacing w:line="240" w:lineRule="auto"/>
        <w:jc w:val="both"/>
        <w:rPr>
          <w:rFonts w:ascii="Times New Roman" w:hAnsi="Times New Roman" w:cs="Times New Roman"/>
          <w:lang w:val="es-MX"/>
        </w:rPr>
      </w:pPr>
      <w:r w:rsidRPr="00460C8A">
        <w:rPr>
          <w:rFonts w:ascii="Times New Roman" w:hAnsi="Times New Roman" w:cs="Times New Roman"/>
          <w:lang w:val="es-MX"/>
        </w:rPr>
        <w:tab/>
        <w:t xml:space="preserve">      </w:t>
      </w:r>
    </w:p>
    <w:p w:rsidR="005A162F" w:rsidRPr="00460C8A" w:rsidRDefault="005A162F" w:rsidP="00460C8A">
      <w:pPr>
        <w:spacing w:line="240" w:lineRule="auto"/>
        <w:jc w:val="both"/>
        <w:rPr>
          <w:rFonts w:ascii="Times New Roman" w:hAnsi="Times New Roman" w:cs="Times New Roman"/>
          <w:lang w:val="es-MX"/>
        </w:rPr>
      </w:pPr>
    </w:p>
    <w:p w:rsidR="00460C8A" w:rsidRDefault="00460C8A" w:rsidP="00460C8A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es-MX"/>
        </w:rPr>
      </w:pPr>
    </w:p>
    <w:p w:rsidR="00F01FBD" w:rsidRPr="00460C8A" w:rsidRDefault="0046268E" w:rsidP="00460C8A">
      <w:pPr>
        <w:spacing w:line="240" w:lineRule="auto"/>
        <w:jc w:val="both"/>
        <w:rPr>
          <w:rFonts w:ascii="Times New Roman" w:hAnsi="Times New Roman" w:cs="Times New Roman"/>
          <w:sz w:val="24"/>
          <w:lang w:val="es-MX"/>
        </w:rPr>
      </w:pPr>
      <w:r w:rsidRPr="00460C8A">
        <w:rPr>
          <w:rFonts w:ascii="Times New Roman" w:hAnsi="Times New Roman" w:cs="Times New Roman"/>
          <w:b/>
          <w:sz w:val="24"/>
          <w:lang w:val="es-MX"/>
        </w:rPr>
        <w:t xml:space="preserve">Cómo Presentar una Queja Título VI con la Oficina de FTA de Derechos Civiles </w:t>
      </w:r>
    </w:p>
    <w:p w:rsidR="00E20A75" w:rsidRPr="00460C8A" w:rsidRDefault="00E20A75" w:rsidP="00460C8A">
      <w:pPr>
        <w:spacing w:line="240" w:lineRule="auto"/>
        <w:jc w:val="both"/>
        <w:rPr>
          <w:rFonts w:ascii="Times New Roman" w:hAnsi="Times New Roman" w:cs="Times New Roman"/>
          <w:sz w:val="24"/>
          <w:lang w:val="es-MX"/>
        </w:rPr>
      </w:pPr>
    </w:p>
    <w:p w:rsidR="00BC4CE1" w:rsidRPr="00460C8A" w:rsidRDefault="00BC4CE1" w:rsidP="00460C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MX"/>
        </w:rPr>
      </w:pP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Cualquier persona que cree que él/ella o un miembro de cualquier clase específica de individuos, ha sido objeto de discriminación por motivos de raza, color, original nacional, edad, sexo, orientación sexual o </w:t>
      </w:r>
      <w:r w:rsidR="00226C6E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identidad de 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género</w:t>
      </w:r>
      <w:r w:rsidR="00C66B8D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,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226C6E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con respecto a los programas del BARC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actividades, </w:t>
      </w:r>
      <w:r w:rsidR="00226C6E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u otro 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servicios </w:t>
      </w:r>
      <w:r w:rsidR="00226C6E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relacionados </w:t>
      </w:r>
      <w:r w:rsidR="00C66B8D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con el tránsito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puede presentar una queja por escrito con </w:t>
      </w:r>
      <w:r w:rsidR="00C66B8D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FTA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. Una queja puede ser presentada por el individuo o por un representante. Una queja debe ser presentada dentro de los 180 días después de la fecha de la supuesta discriminación. FTA </w:t>
      </w:r>
      <w:r w:rsidR="006D0AE6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investigará 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con prontitud todas las denuncias presentadas </w:t>
      </w:r>
      <w:r w:rsidR="00C66B8D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según el Título VI de acuerdo con normas del 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DOT </w:t>
      </w:r>
      <w:r w:rsidR="00C66B8D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regulaciones </w:t>
      </w:r>
      <w:r w:rsidR="00C66B8D" w:rsidRPr="00460C8A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 xml:space="preserve">49 </w:t>
      </w:r>
      <w:r w:rsidR="00575BEA" w:rsidRPr="00460C8A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CFR 21.</w:t>
      </w:r>
      <w:r w:rsidRPr="00460C8A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11</w:t>
      </w:r>
      <w:r w:rsidR="00727676" w:rsidRPr="00460C8A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 xml:space="preserve"> </w:t>
      </w:r>
      <w:r w:rsidRPr="00460C8A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(b) y 21.11</w:t>
      </w:r>
      <w:r w:rsidR="00727676" w:rsidRPr="00460C8A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 xml:space="preserve"> (c)</w:t>
      </w:r>
      <w:r w:rsidRPr="00460C8A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.</w:t>
      </w:r>
    </w:p>
    <w:p w:rsidR="0012257C" w:rsidRDefault="0012257C" w:rsidP="0046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460C8A" w:rsidRPr="00460C8A" w:rsidRDefault="00460C8A" w:rsidP="0046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12257C" w:rsidRPr="00460C8A" w:rsidRDefault="0012257C" w:rsidP="00460C8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460C8A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Una queja debe incluir la siguiente información: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una queja debe ser por escrit</w:t>
      </w:r>
      <w:r w:rsidR="00DA571D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o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, firmad</w:t>
      </w:r>
      <w:r w:rsidR="00DA571D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a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y fechad</w:t>
      </w:r>
      <w:r w:rsidR="00DA571D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a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por el demandante o su representante antes de </w:t>
      </w:r>
      <w:r w:rsidR="00DA571D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que cualquier 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acción</w:t>
      </w:r>
      <w:r w:rsidR="00DA571D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pueda ser tomada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. </w:t>
      </w:r>
      <w:r w:rsidR="00DA571D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En los casos en que el demandante no puede o es incapaz 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de pre</w:t>
      </w:r>
      <w:r w:rsidR="00DA571D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star una declaración por escrito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pero desea </w:t>
      </w:r>
      <w:r w:rsidR="00DA571D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que el 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FTA o </w:t>
      </w:r>
      <w:r w:rsidR="00DA571D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el DOT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DA571D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investiguen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la presunta discriminación, </w:t>
      </w:r>
      <w:r w:rsidR="00DA571D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puede hace 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una queja de discriminación verbal al Director del FTA, </w:t>
      </w:r>
      <w:r w:rsidR="00DA571D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Oficinal de Derechos Civiles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. Si es necesario, el </w:t>
      </w:r>
      <w:r w:rsidR="00F46D72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O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ficial de </w:t>
      </w:r>
      <w:r w:rsidR="00F46D72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D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erechos </w:t>
      </w:r>
      <w:r w:rsidR="00F46D72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C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iviles ayudará a la persona </w:t>
      </w:r>
      <w:r w:rsidR="00F46D72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a convertir 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la queja verbal en </w:t>
      </w:r>
      <w:r w:rsidR="00F37519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una por esc</w:t>
      </w:r>
      <w:r w:rsid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r</w:t>
      </w:r>
      <w:r w:rsidR="00F37519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ito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. Todas las quejas deben, sin embargo, s</w:t>
      </w:r>
      <w:r w:rsidR="00F37519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er firmadas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por el demandante o su representante.</w:t>
      </w:r>
    </w:p>
    <w:p w:rsidR="00DD3F14" w:rsidRPr="00460C8A" w:rsidRDefault="00DD3F14" w:rsidP="00460C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DD3F14" w:rsidRPr="00460C8A" w:rsidRDefault="00DD3F14" w:rsidP="00460C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460C8A">
        <w:rPr>
          <w:rFonts w:ascii="Times New Roman" w:eastAsia="Times New Roman" w:hAnsi="Times New Roman" w:cs="Times New Roman"/>
          <w:sz w:val="24"/>
          <w:szCs w:val="24"/>
          <w:u w:val="single"/>
          <w:lang w:val="es-MX"/>
        </w:rPr>
        <w:t xml:space="preserve">Dirección de Oficina de Derechos Civiles FTA: </w:t>
      </w:r>
    </w:p>
    <w:p w:rsidR="00DD3F14" w:rsidRPr="00460C8A" w:rsidRDefault="00DD3F14" w:rsidP="00460C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C8A">
        <w:rPr>
          <w:rFonts w:ascii="Times New Roman" w:eastAsia="Times New Roman" w:hAnsi="Times New Roman" w:cs="Times New Roman"/>
          <w:sz w:val="24"/>
          <w:szCs w:val="24"/>
        </w:rPr>
        <w:t>Federal Transit Administration Office of Civil Rights</w:t>
      </w:r>
    </w:p>
    <w:p w:rsidR="00DD3F14" w:rsidRPr="00460C8A" w:rsidRDefault="00DD3F14" w:rsidP="00460C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F14" w:rsidRPr="00460C8A" w:rsidRDefault="00DD3F14" w:rsidP="00460C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C8A">
        <w:rPr>
          <w:rFonts w:ascii="Times New Roman" w:eastAsia="Times New Roman" w:hAnsi="Times New Roman" w:cs="Times New Roman"/>
          <w:sz w:val="24"/>
          <w:szCs w:val="24"/>
        </w:rPr>
        <w:t>Attn: Title VI Program Coordinator East Building, 5</w:t>
      </w:r>
      <w:r w:rsidRPr="00460C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460C8A">
        <w:rPr>
          <w:rFonts w:ascii="Times New Roman" w:eastAsia="Times New Roman" w:hAnsi="Times New Roman" w:cs="Times New Roman"/>
          <w:sz w:val="24"/>
          <w:szCs w:val="24"/>
        </w:rPr>
        <w:t xml:space="preserve"> Floor-</w:t>
      </w:r>
    </w:p>
    <w:p w:rsidR="00DD3F14" w:rsidRPr="00460C8A" w:rsidRDefault="00DD3F14" w:rsidP="00460C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C8A">
        <w:rPr>
          <w:rFonts w:ascii="Times New Roman" w:eastAsia="Times New Roman" w:hAnsi="Times New Roman" w:cs="Times New Roman"/>
          <w:sz w:val="24"/>
          <w:szCs w:val="24"/>
        </w:rPr>
        <w:t>TCR 1200 New Jersey Avenue, S.E. Washington, DC 20590</w:t>
      </w:r>
    </w:p>
    <w:p w:rsidR="00DD3F14" w:rsidRPr="00460C8A" w:rsidRDefault="00DD3F14" w:rsidP="00460C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TTY: 1-800-877-8339 Voz: 1-866-377-8642</w:t>
      </w:r>
    </w:p>
    <w:p w:rsidR="00DD3F14" w:rsidRPr="00460C8A" w:rsidRDefault="00A52159" w:rsidP="00460C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hyperlink r:id="rId8" w:history="1">
        <w:r w:rsidR="00DD3F14" w:rsidRPr="00460C8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MX"/>
          </w:rPr>
          <w:t>FTA.ADAAsistance@dot.gov</w:t>
        </w:r>
      </w:hyperlink>
    </w:p>
    <w:p w:rsidR="00DD3F14" w:rsidRDefault="00DD3F14" w:rsidP="00460C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460C8A" w:rsidRPr="00460C8A" w:rsidRDefault="00460C8A" w:rsidP="00460C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DD3F14" w:rsidRDefault="00460C8A" w:rsidP="00460C8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460C8A">
        <w:rPr>
          <w:rFonts w:ascii="Times New Roman" w:hAnsi="Times New Roman" w:cs="Times New Roman"/>
          <w:lang w:val="es-MX"/>
        </w:rPr>
        <w:t xml:space="preserve">Una queja deberá indicar, </w:t>
      </w:r>
      <w:r w:rsidR="00DD3F14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en la medida de lo posible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,</w:t>
      </w:r>
      <w:r w:rsidR="00DD3F14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los hechos y circunstancias que rodearon la presunta discriminación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,</w:t>
      </w:r>
      <w:r w:rsidR="00DD3F14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Pr="00460C8A">
        <w:rPr>
          <w:rFonts w:ascii="Times New Roman" w:hAnsi="Times New Roman" w:cs="Times New Roman"/>
          <w:lang w:val="es-MX"/>
        </w:rPr>
        <w:t>incluyendo la fecha</w:t>
      </w:r>
      <w:r>
        <w:rPr>
          <w:rFonts w:ascii="Times New Roman" w:hAnsi="Times New Roman" w:cs="Times New Roman"/>
          <w:lang w:val="es-MX"/>
        </w:rPr>
        <w:t>,</w:t>
      </w:r>
      <w:r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DD3F14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hora y lugar de la incidencia. La denuncia deberá incluir una descripción del programa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,</w:t>
      </w:r>
      <w:r w:rsidR="00DD3F14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actividad o </w:t>
      </w:r>
      <w:r w:rsidRPr="00460C8A">
        <w:rPr>
          <w:rFonts w:ascii="Times New Roman" w:hAnsi="Times New Roman" w:cs="Times New Roman"/>
          <w:lang w:val="es-MX"/>
        </w:rPr>
        <w:t>servicio</w:t>
      </w:r>
      <w:r w:rsidRPr="00460C8A">
        <w:rPr>
          <w:lang w:val="es-MX"/>
        </w:rPr>
        <w:t xml:space="preserve"> </w:t>
      </w:r>
      <w:r w:rsidR="00DD3F14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en </w:t>
      </w:r>
      <w:r w:rsidRPr="00460C8A">
        <w:rPr>
          <w:rFonts w:ascii="Times New Roman" w:hAnsi="Times New Roman" w:cs="Times New Roman"/>
          <w:lang w:val="es-MX"/>
        </w:rPr>
        <w:t>que ocurrió la presunta discriminación</w:t>
      </w:r>
      <w:r w:rsidR="00DD3F14" w:rsidRPr="00460C8A">
        <w:rPr>
          <w:rFonts w:ascii="Times New Roman" w:eastAsia="Times New Roman" w:hAnsi="Times New Roman" w:cs="Times New Roman"/>
          <w:sz w:val="24"/>
          <w:szCs w:val="24"/>
          <w:lang w:val="es-MX"/>
        </w:rPr>
        <w:t>.</w:t>
      </w:r>
    </w:p>
    <w:p w:rsidR="00460C8A" w:rsidRDefault="00460C8A" w:rsidP="0046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sectPr w:rsidR="00460C8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59" w:rsidRDefault="00A52159" w:rsidP="00590A8D">
      <w:pPr>
        <w:spacing w:after="0" w:line="240" w:lineRule="auto"/>
      </w:pPr>
      <w:r>
        <w:separator/>
      </w:r>
    </w:p>
  </w:endnote>
  <w:endnote w:type="continuationSeparator" w:id="0">
    <w:p w:rsidR="00A52159" w:rsidRDefault="00A52159" w:rsidP="0059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29" w:rsidRPr="00460C8A" w:rsidRDefault="00C34929" w:rsidP="00C34929">
    <w:pPr>
      <w:pStyle w:val="Footer"/>
      <w:pBdr>
        <w:top w:val="single" w:sz="4" w:space="1" w:color="A5A5A5" w:themeColor="background1" w:themeShade="A5"/>
      </w:pBdr>
      <w:rPr>
        <w:lang w:val="es-MX"/>
      </w:rPr>
    </w:pPr>
    <w:r w:rsidRPr="00460C8A">
      <w:rPr>
        <w:lang w:val="es-MX"/>
      </w:rPr>
      <w:t xml:space="preserve">Bakersfield Arc, Inc.               </w:t>
    </w:r>
    <w:r w:rsidR="002A05DA" w:rsidRPr="00460C8A">
      <w:rPr>
        <w:lang w:val="es-MX"/>
      </w:rPr>
      <w:t xml:space="preserve">  </w:t>
    </w:r>
    <w:r w:rsidRPr="00460C8A">
      <w:rPr>
        <w:lang w:val="es-MX"/>
      </w:rPr>
      <w:t xml:space="preserve"> </w:t>
    </w:r>
    <w:r w:rsidR="002A05DA" w:rsidRPr="00460C8A">
      <w:rPr>
        <w:lang w:val="es-MX"/>
      </w:rPr>
      <w:t xml:space="preserve">    </w:t>
    </w:r>
    <w:r w:rsidRPr="00460C8A">
      <w:rPr>
        <w:lang w:val="es-MX"/>
      </w:rPr>
      <w:t xml:space="preserve"> </w:t>
    </w:r>
    <w:r w:rsidR="002A05DA" w:rsidRPr="00460C8A">
      <w:rPr>
        <w:lang w:val="es-MX"/>
      </w:rPr>
      <w:t xml:space="preserve">   </w:t>
    </w:r>
    <w:r w:rsidRPr="00460C8A">
      <w:rPr>
        <w:lang w:val="es-MX"/>
      </w:rPr>
      <w:t xml:space="preserve">     Programa FTA título VI               </w:t>
    </w:r>
    <w:r w:rsidR="002A05DA" w:rsidRPr="00460C8A">
      <w:rPr>
        <w:lang w:val="es-MX"/>
      </w:rPr>
      <w:t xml:space="preserve">      </w:t>
    </w:r>
    <w:r w:rsidRPr="00460C8A">
      <w:rPr>
        <w:lang w:val="es-MX"/>
      </w:rPr>
      <w:t xml:space="preserve">            Políticas &amp; Procedimientos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59" w:rsidRDefault="00A52159" w:rsidP="00590A8D">
      <w:pPr>
        <w:spacing w:after="0" w:line="240" w:lineRule="auto"/>
      </w:pPr>
      <w:r>
        <w:separator/>
      </w:r>
    </w:p>
  </w:footnote>
  <w:footnote w:type="continuationSeparator" w:id="0">
    <w:p w:rsidR="00A52159" w:rsidRDefault="00A52159" w:rsidP="0059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863EA45D7E745AB84E16F1754AA4C1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90A8D" w:rsidRDefault="00590A8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Bakersfield Arc, Inc. (BARC) – Programa FTA Titulo VI</w:t>
        </w:r>
      </w:p>
    </w:sdtContent>
  </w:sdt>
  <w:p w:rsidR="00590A8D" w:rsidRDefault="00590A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0F7E"/>
    <w:multiLevelType w:val="hybridMultilevel"/>
    <w:tmpl w:val="1C508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04510"/>
    <w:multiLevelType w:val="hybridMultilevel"/>
    <w:tmpl w:val="4F9A2638"/>
    <w:lvl w:ilvl="0" w:tplc="79E4835E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31634"/>
    <w:multiLevelType w:val="hybridMultilevel"/>
    <w:tmpl w:val="5F025B5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B174A3"/>
    <w:multiLevelType w:val="hybridMultilevel"/>
    <w:tmpl w:val="39969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120CD"/>
    <w:multiLevelType w:val="hybridMultilevel"/>
    <w:tmpl w:val="5C5A5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F0C9B"/>
    <w:multiLevelType w:val="hybridMultilevel"/>
    <w:tmpl w:val="D1AADC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A57C9"/>
    <w:multiLevelType w:val="hybridMultilevel"/>
    <w:tmpl w:val="693A65D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8E34E7"/>
    <w:multiLevelType w:val="hybridMultilevel"/>
    <w:tmpl w:val="C23E54B0"/>
    <w:lvl w:ilvl="0" w:tplc="4AA4F662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F07A4"/>
    <w:multiLevelType w:val="hybridMultilevel"/>
    <w:tmpl w:val="C6D2DA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8D"/>
    <w:rsid w:val="0012257C"/>
    <w:rsid w:val="0013798B"/>
    <w:rsid w:val="001A6678"/>
    <w:rsid w:val="00226C6E"/>
    <w:rsid w:val="002A05DA"/>
    <w:rsid w:val="00330BC8"/>
    <w:rsid w:val="003C293B"/>
    <w:rsid w:val="003C2F6A"/>
    <w:rsid w:val="003C70A0"/>
    <w:rsid w:val="003E41B4"/>
    <w:rsid w:val="003F5875"/>
    <w:rsid w:val="00451737"/>
    <w:rsid w:val="00460C8A"/>
    <w:rsid w:val="0046268E"/>
    <w:rsid w:val="00575BEA"/>
    <w:rsid w:val="00590A8D"/>
    <w:rsid w:val="005A162F"/>
    <w:rsid w:val="005A52C0"/>
    <w:rsid w:val="005B07F9"/>
    <w:rsid w:val="006D0AE6"/>
    <w:rsid w:val="00727676"/>
    <w:rsid w:val="007B0E3A"/>
    <w:rsid w:val="007D58A4"/>
    <w:rsid w:val="00811D17"/>
    <w:rsid w:val="00977A25"/>
    <w:rsid w:val="009C1F63"/>
    <w:rsid w:val="00A52159"/>
    <w:rsid w:val="00BA5DE7"/>
    <w:rsid w:val="00BC4CE1"/>
    <w:rsid w:val="00C34929"/>
    <w:rsid w:val="00C66B8D"/>
    <w:rsid w:val="00C66E57"/>
    <w:rsid w:val="00D64245"/>
    <w:rsid w:val="00DA2E7B"/>
    <w:rsid w:val="00DA571D"/>
    <w:rsid w:val="00DC110A"/>
    <w:rsid w:val="00DD3F14"/>
    <w:rsid w:val="00E20A75"/>
    <w:rsid w:val="00F01FBD"/>
    <w:rsid w:val="00F37519"/>
    <w:rsid w:val="00F44255"/>
    <w:rsid w:val="00F4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8D"/>
  </w:style>
  <w:style w:type="paragraph" w:styleId="Footer">
    <w:name w:val="footer"/>
    <w:basedOn w:val="Normal"/>
    <w:link w:val="FooterChar"/>
    <w:uiPriority w:val="99"/>
    <w:unhideWhenUsed/>
    <w:rsid w:val="00590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8D"/>
  </w:style>
  <w:style w:type="paragraph" w:styleId="BalloonText">
    <w:name w:val="Balloon Text"/>
    <w:basedOn w:val="Normal"/>
    <w:link w:val="BalloonTextChar"/>
    <w:uiPriority w:val="99"/>
    <w:semiHidden/>
    <w:unhideWhenUsed/>
    <w:rsid w:val="0059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5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8D"/>
  </w:style>
  <w:style w:type="paragraph" w:styleId="Footer">
    <w:name w:val="footer"/>
    <w:basedOn w:val="Normal"/>
    <w:link w:val="FooterChar"/>
    <w:uiPriority w:val="99"/>
    <w:unhideWhenUsed/>
    <w:rsid w:val="00590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8D"/>
  </w:style>
  <w:style w:type="paragraph" w:styleId="BalloonText">
    <w:name w:val="Balloon Text"/>
    <w:basedOn w:val="Normal"/>
    <w:link w:val="BalloonTextChar"/>
    <w:uiPriority w:val="99"/>
    <w:semiHidden/>
    <w:unhideWhenUsed/>
    <w:rsid w:val="0059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5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3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6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A.ADAAsistance@dot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63EA45D7E745AB84E16F1754AA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979A5-0682-4B95-9969-DC616C4974CC}"/>
      </w:docPartPr>
      <w:docPartBody>
        <w:p w:rsidR="00965105" w:rsidRDefault="003677C1" w:rsidP="003677C1">
          <w:pPr>
            <w:pStyle w:val="9863EA45D7E745AB84E16F1754AA4C1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C1"/>
    <w:rsid w:val="003677C1"/>
    <w:rsid w:val="00965105"/>
    <w:rsid w:val="009E5A55"/>
    <w:rsid w:val="00C21610"/>
    <w:rsid w:val="00E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63EA45D7E745AB84E16F1754AA4C1C">
    <w:name w:val="9863EA45D7E745AB84E16F1754AA4C1C"/>
    <w:rsid w:val="003677C1"/>
  </w:style>
  <w:style w:type="paragraph" w:customStyle="1" w:styleId="9B7B39733CF14B658FBBFA080B54C0C0">
    <w:name w:val="9B7B39733CF14B658FBBFA080B54C0C0"/>
    <w:rsid w:val="003677C1"/>
  </w:style>
  <w:style w:type="paragraph" w:customStyle="1" w:styleId="41013AB544F142D489D442948AEC1C1B">
    <w:name w:val="41013AB544F142D489D442948AEC1C1B"/>
    <w:rsid w:val="003677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63EA45D7E745AB84E16F1754AA4C1C">
    <w:name w:val="9863EA45D7E745AB84E16F1754AA4C1C"/>
    <w:rsid w:val="003677C1"/>
  </w:style>
  <w:style w:type="paragraph" w:customStyle="1" w:styleId="9B7B39733CF14B658FBBFA080B54C0C0">
    <w:name w:val="9B7B39733CF14B658FBBFA080B54C0C0"/>
    <w:rsid w:val="003677C1"/>
  </w:style>
  <w:style w:type="paragraph" w:customStyle="1" w:styleId="41013AB544F142D489D442948AEC1C1B">
    <w:name w:val="41013AB544F142D489D442948AEC1C1B"/>
    <w:rsid w:val="00367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Bakersfield Arc, Inc. (BARC) – Programa FTA Titulo VI</vt:lpstr>
    </vt:vector>
  </TitlesOfParts>
  <Company>Hewlett-Packard Company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Bakersfield Arc, Inc. (BARC) – Programa FTA Titulo VI</dc:title>
  <dc:creator>Celia Gonzalez</dc:creator>
  <cp:lastModifiedBy>Celia Gonzalez</cp:lastModifiedBy>
  <cp:revision>24</cp:revision>
  <dcterms:created xsi:type="dcterms:W3CDTF">2014-04-03T17:18:00Z</dcterms:created>
  <dcterms:modified xsi:type="dcterms:W3CDTF">2014-04-04T17:38:00Z</dcterms:modified>
</cp:coreProperties>
</file>